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692"/>
        </w:tabs>
        <w:spacing w:before="105"/>
        <w:ind w:left="0" w:right="62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凝血酶原时间（PT）测定试剂盒</w:t>
      </w:r>
    </w:p>
    <w:p>
      <w:pPr>
        <w:pStyle w:val="2"/>
        <w:tabs>
          <w:tab w:val="left" w:pos="1692"/>
        </w:tabs>
        <w:spacing w:before="105"/>
        <w:ind w:left="0" w:right="62"/>
        <w:jc w:val="center"/>
      </w:pPr>
      <w:r>
        <w:t>（货号:SFJ288）</w:t>
      </w:r>
    </w:p>
    <w:p>
      <w:pPr>
        <w:pStyle w:val="3"/>
        <w:spacing w:before="0"/>
        <w:ind w:left="0"/>
        <w:jc w:val="right"/>
        <w:rPr>
          <w:b/>
          <w:sz w:val="18"/>
        </w:rPr>
      </w:pPr>
    </w:p>
    <w:p>
      <w:pPr>
        <w:ind w:left="328"/>
        <w:rPr>
          <w:b/>
          <w:sz w:val="21"/>
        </w:rPr>
      </w:pPr>
      <w:r>
        <w:rPr>
          <w:b/>
          <w:sz w:val="21"/>
        </w:rPr>
        <w:t>一、测定范围:</w:t>
      </w:r>
    </w:p>
    <w:p>
      <w:pPr>
        <w:pStyle w:val="3"/>
        <w:spacing w:before="103" w:line="336" w:lineRule="auto"/>
        <w:ind w:left="1168" w:right="1014"/>
        <w:rPr>
          <w:spacing w:val="-108"/>
        </w:rPr>
      </w:pPr>
      <w:r>
        <w:rPr>
          <w:rFonts w:hint="eastAsia"/>
          <w:spacing w:val="-3"/>
        </w:rPr>
        <w:t>凝血酶原时间（PT）</w:t>
      </w:r>
      <w:r>
        <w:rPr>
          <w:spacing w:val="-3"/>
        </w:rPr>
        <w:t xml:space="preserve">测定 </w:t>
      </w:r>
      <w:r>
        <w:rPr>
          <w:spacing w:val="-5"/>
        </w:rPr>
        <w:t>用于检测血浆</w:t>
      </w:r>
      <w:r>
        <w:rPr>
          <w:rFonts w:hint="eastAsia"/>
          <w:spacing w:val="-3"/>
        </w:rPr>
        <w:t>凝血酶原时间（PT）</w:t>
      </w:r>
      <w:r>
        <w:rPr>
          <w:spacing w:val="-108"/>
        </w:rPr>
        <w:t>。</w:t>
      </w:r>
    </w:p>
    <w:p>
      <w:pPr>
        <w:pStyle w:val="3"/>
        <w:spacing w:before="103" w:line="336" w:lineRule="auto"/>
        <w:ind w:left="1168" w:right="1014"/>
      </w:pPr>
      <w:r>
        <w:rPr>
          <w:spacing w:val="-4"/>
        </w:rPr>
        <w:t>试剂仅用于科研。</w:t>
      </w:r>
    </w:p>
    <w:p>
      <w:pPr>
        <w:pStyle w:val="2"/>
        <w:spacing w:after="53" w:line="264" w:lineRule="exact"/>
      </w:pPr>
      <w:r>
        <w:rPr>
          <w:spacing w:val="-17"/>
        </w:rPr>
        <w:t>二、试剂组成：</w:t>
      </w:r>
      <w:r>
        <w:t>（</w:t>
      </w:r>
      <w:r>
        <w:rPr>
          <w:spacing w:val="-2"/>
        </w:rPr>
        <w:t>4</w:t>
      </w:r>
      <w:r>
        <w:rPr>
          <w:spacing w:val="2"/>
        </w:rPr>
        <w:t>0</w:t>
      </w:r>
      <w:r>
        <w:rPr>
          <w:spacing w:val="-2"/>
        </w:rPr>
        <w:t>T</w:t>
      </w:r>
      <w:r>
        <w:t>）</w:t>
      </w:r>
    </w:p>
    <w:tbl>
      <w:tblPr>
        <w:tblStyle w:val="6"/>
        <w:tblW w:w="8398" w:type="dxa"/>
        <w:tblInd w:w="7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985"/>
        <w:gridCol w:w="2040"/>
        <w:gridCol w:w="3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761" w:type="dxa"/>
            <w:gridSpan w:val="2"/>
          </w:tcPr>
          <w:p>
            <w:pPr>
              <w:pStyle w:val="11"/>
              <w:spacing w:before="53"/>
              <w:ind w:left="937" w:right="930"/>
              <w:rPr>
                <w:b/>
                <w:sz w:val="21"/>
              </w:rPr>
            </w:pPr>
            <w:r>
              <w:rPr>
                <w:b/>
                <w:sz w:val="21"/>
              </w:rPr>
              <w:t>试剂名称</w:t>
            </w:r>
          </w:p>
        </w:tc>
        <w:tc>
          <w:tcPr>
            <w:tcW w:w="2040" w:type="dxa"/>
          </w:tcPr>
          <w:p>
            <w:pPr>
              <w:pStyle w:val="11"/>
              <w:spacing w:before="53"/>
              <w:ind w:left="419" w:right="411"/>
              <w:rPr>
                <w:b/>
                <w:sz w:val="21"/>
              </w:rPr>
            </w:pPr>
            <w:r>
              <w:rPr>
                <w:b/>
                <w:sz w:val="21"/>
              </w:rPr>
              <w:t>规格</w:t>
            </w:r>
          </w:p>
        </w:tc>
        <w:tc>
          <w:tcPr>
            <w:tcW w:w="3597" w:type="dxa"/>
          </w:tcPr>
          <w:p>
            <w:pPr>
              <w:pStyle w:val="11"/>
              <w:spacing w:before="53"/>
              <w:ind w:left="951" w:right="946"/>
              <w:rPr>
                <w:b/>
                <w:sz w:val="21"/>
              </w:rPr>
            </w:pPr>
            <w:r>
              <w:rPr>
                <w:b/>
                <w:sz w:val="21"/>
              </w:rPr>
              <w:t>试剂成分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76" w:type="dxa"/>
          </w:tcPr>
          <w:p>
            <w:pPr>
              <w:pStyle w:val="11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11"/>
              <w:spacing w:before="0"/>
              <w:ind w:left="261" w:right="253"/>
              <w:rPr>
                <w:b/>
                <w:sz w:val="21"/>
              </w:rPr>
            </w:pPr>
            <w:r>
              <w:rPr>
                <w:b/>
                <w:sz w:val="21"/>
              </w:rPr>
              <w:t>R1</w:t>
            </w:r>
          </w:p>
        </w:tc>
        <w:tc>
          <w:tcPr>
            <w:tcW w:w="1985" w:type="dxa"/>
          </w:tcPr>
          <w:p>
            <w:pPr>
              <w:pStyle w:val="11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11"/>
              <w:spacing w:before="0"/>
              <w:ind w:left="75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PT</w:t>
            </w:r>
            <w:r>
              <w:rPr>
                <w:sz w:val="21"/>
              </w:rPr>
              <w:t>试剂</w:t>
            </w:r>
          </w:p>
        </w:tc>
        <w:tc>
          <w:tcPr>
            <w:tcW w:w="2040" w:type="dxa"/>
          </w:tcPr>
          <w:p>
            <w:pPr>
              <w:pStyle w:val="11"/>
              <w:spacing w:before="10"/>
              <w:jc w:val="left"/>
              <w:rPr>
                <w:b/>
                <w:sz w:val="18"/>
              </w:rPr>
            </w:pPr>
          </w:p>
          <w:p>
            <w:pPr>
              <w:pStyle w:val="11"/>
              <w:spacing w:before="0"/>
              <w:ind w:left="423" w:right="411"/>
              <w:jc w:val="both"/>
              <w:rPr>
                <w:sz w:val="21"/>
              </w:rPr>
            </w:pPr>
            <w:r>
              <w:rPr>
                <w:sz w:val="21"/>
              </w:rPr>
              <w:t>2.0ml×1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z w:val="21"/>
              </w:rPr>
              <w:t>瓶</w:t>
            </w:r>
          </w:p>
        </w:tc>
        <w:tc>
          <w:tcPr>
            <w:tcW w:w="3597" w:type="dxa"/>
          </w:tcPr>
          <w:p>
            <w:pPr>
              <w:pStyle w:val="11"/>
              <w:spacing w:before="103"/>
              <w:jc w:val="left"/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组织因子、缓冲液、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0.5%BSA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</w:p>
          <w:p>
            <w:pPr>
              <w:pStyle w:val="11"/>
              <w:spacing w:before="103"/>
              <w:jc w:val="left"/>
              <w:rPr>
                <w:sz w:val="21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防腐剂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6" w:type="dxa"/>
          </w:tcPr>
          <w:p>
            <w:pPr>
              <w:pStyle w:val="11"/>
              <w:spacing w:before="53"/>
              <w:ind w:left="261" w:right="253"/>
              <w:rPr>
                <w:b/>
                <w:sz w:val="21"/>
              </w:rPr>
            </w:pPr>
            <w:r>
              <w:rPr>
                <w:b/>
                <w:sz w:val="21"/>
              </w:rPr>
              <w:t>R2</w:t>
            </w:r>
          </w:p>
        </w:tc>
        <w:tc>
          <w:tcPr>
            <w:tcW w:w="1985" w:type="dxa"/>
          </w:tcPr>
          <w:p>
            <w:pPr>
              <w:pStyle w:val="11"/>
              <w:spacing w:before="53"/>
              <w:rPr>
                <w:rFonts w:hint="default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PT缓冲液</w:t>
            </w:r>
          </w:p>
        </w:tc>
        <w:tc>
          <w:tcPr>
            <w:tcW w:w="2040" w:type="dxa"/>
          </w:tcPr>
          <w:p>
            <w:pPr>
              <w:pStyle w:val="11"/>
              <w:spacing w:before="53"/>
              <w:ind w:left="419" w:right="411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  <w:r>
              <w:rPr>
                <w:sz w:val="21"/>
              </w:rPr>
              <w:t>ml×1 瓶</w:t>
            </w:r>
          </w:p>
        </w:tc>
        <w:tc>
          <w:tcPr>
            <w:tcW w:w="3597" w:type="dxa"/>
          </w:tcPr>
          <w:p>
            <w:pPr>
              <w:pStyle w:val="11"/>
              <w:spacing w:before="53"/>
              <w:ind w:right="946"/>
              <w:jc w:val="both"/>
              <w:rPr>
                <w:sz w:val="15"/>
              </w:rPr>
            </w:pPr>
            <w:r>
              <w:rPr>
                <w:rFonts w:hint="eastAsia"/>
                <w:sz w:val="22"/>
                <w:szCs w:val="22"/>
              </w:rPr>
              <w:t>缓冲液、稳定剂、防腐剂</w:t>
            </w:r>
          </w:p>
        </w:tc>
      </w:tr>
    </w:tbl>
    <w:p>
      <w:pPr>
        <w:spacing w:before="57"/>
        <w:ind w:left="328"/>
        <w:rPr>
          <w:b/>
          <w:sz w:val="21"/>
        </w:rPr>
      </w:pPr>
      <w:r>
        <w:rPr>
          <w:b/>
          <w:sz w:val="21"/>
        </w:rPr>
        <w:t>三、试剂保存和稳定性:</w:t>
      </w:r>
    </w:p>
    <w:p>
      <w:pPr>
        <w:pStyle w:val="3"/>
        <w:ind w:left="1168"/>
      </w:pPr>
      <w:r>
        <w:t>使用有效期：</w:t>
      </w:r>
      <w:r>
        <w:rPr>
          <w:rFonts w:hint="eastAsia"/>
          <w:lang w:val="en-US" w:eastAsia="zh-CN"/>
        </w:rPr>
        <w:t>三十六</w:t>
      </w:r>
      <w:r>
        <w:t>个月</w:t>
      </w:r>
    </w:p>
    <w:p>
      <w:pPr>
        <w:pStyle w:val="3"/>
        <w:spacing w:line="331" w:lineRule="auto"/>
        <w:ind w:left="1168" w:right="4320"/>
      </w:pPr>
      <w:r>
        <w:t>2～8</w:t>
      </w:r>
      <w:r>
        <w:rPr>
          <w:spacing w:val="-5"/>
        </w:rPr>
        <w:t xml:space="preserve">℃保存，未开封试剂有效期内保持稳定。 </w:t>
      </w:r>
      <w:r>
        <w:rPr>
          <w:spacing w:val="-16"/>
        </w:rPr>
        <w:t xml:space="preserve">开封后 </w:t>
      </w:r>
      <w:r>
        <w:t>2～15</w:t>
      </w:r>
      <w:r>
        <w:rPr>
          <w:spacing w:val="-9"/>
        </w:rPr>
        <w:t xml:space="preserve">℃下试剂可稳定 </w:t>
      </w:r>
      <w:r>
        <w:t>7</w:t>
      </w:r>
      <w:r>
        <w:rPr>
          <w:spacing w:val="-11"/>
        </w:rPr>
        <w:t xml:space="preserve"> 天。不可冰冻。</w:t>
      </w:r>
    </w:p>
    <w:p>
      <w:pPr>
        <w:spacing w:before="6" w:line="331" w:lineRule="auto"/>
        <w:ind w:right="910" w:firstLine="422" w:firstLineChars="200"/>
        <w:rPr>
          <w:b/>
          <w:sz w:val="21"/>
        </w:rPr>
      </w:pPr>
      <w:r>
        <w:rPr>
          <w:b/>
          <w:sz w:val="21"/>
        </w:rPr>
        <w:t>四、操作过程:</w:t>
      </w:r>
    </w:p>
    <w:p>
      <w:pPr>
        <w:pStyle w:val="2"/>
        <w:spacing w:before="6"/>
        <w:ind w:left="740"/>
      </w:pPr>
      <w:r>
        <w:t>1、检测前准备:</w:t>
      </w:r>
    </w:p>
    <w:p>
      <w:pPr>
        <w:spacing w:before="103" w:line="336" w:lineRule="auto"/>
        <w:ind w:left="1336" w:right="2474" w:hanging="280"/>
        <w:rPr>
          <w:sz w:val="21"/>
        </w:rPr>
      </w:pPr>
      <w:r>
        <w:rPr>
          <w:b/>
          <w:sz w:val="21"/>
        </w:rPr>
        <w:t>①、PT 试剂：</w:t>
      </w:r>
      <w:r>
        <w:rPr>
          <w:b w:val="0"/>
          <w:bCs/>
          <w:sz w:val="21"/>
        </w:rPr>
        <w:t>每瓶</w:t>
      </w:r>
      <w:r>
        <w:rPr>
          <w:b w:val="0"/>
          <w:bCs/>
          <w:sz w:val="21"/>
          <w:lang w:val="en-US" w:eastAsia="en-US"/>
        </w:rPr>
        <w:t>PT</w:t>
      </w:r>
      <w:r>
        <w:rPr>
          <w:b w:val="0"/>
          <w:bCs/>
          <w:sz w:val="21"/>
        </w:rPr>
        <w:t>试剂加入</w:t>
      </w:r>
      <w:r>
        <w:rPr>
          <w:rFonts w:hint="eastAsia"/>
          <w:b w:val="0"/>
          <w:bCs/>
          <w:sz w:val="21"/>
          <w:lang w:val="en-US" w:eastAsia="zh-CN"/>
        </w:rPr>
        <w:t>2ml</w:t>
      </w:r>
      <w:r>
        <w:rPr>
          <w:b w:val="0"/>
          <w:bCs/>
          <w:sz w:val="21"/>
        </w:rPr>
        <w:t>的缓冲液，轻摇溶解。</w:t>
      </w:r>
    </w:p>
    <w:p>
      <w:pPr>
        <w:pStyle w:val="2"/>
        <w:spacing w:line="268" w:lineRule="exact"/>
        <w:ind w:left="1052"/>
      </w:pPr>
      <w:r>
        <w:t>②、样本收集和处理:</w:t>
      </w:r>
    </w:p>
    <w:p>
      <w:pPr>
        <w:pStyle w:val="3"/>
        <w:spacing w:before="103" w:line="336" w:lineRule="auto"/>
        <w:ind w:left="1484" w:right="214" w:firstLine="420"/>
      </w:pPr>
      <w:r>
        <w:rPr>
          <w:spacing w:val="-9"/>
        </w:rPr>
        <w:t xml:space="preserve">新鲜静脉血与 </w:t>
      </w:r>
      <w:r>
        <w:t>0.109M</w:t>
      </w:r>
      <w:r>
        <w:rPr>
          <w:spacing w:val="-12"/>
        </w:rPr>
        <w:t xml:space="preserve"> 的柠檬酸三钠按 </w:t>
      </w:r>
      <w:r>
        <w:t>9：1</w:t>
      </w:r>
      <w:r>
        <w:rPr>
          <w:spacing w:val="-14"/>
        </w:rPr>
        <w:t xml:space="preserve"> 混合均匀，以 </w:t>
      </w:r>
      <w:r>
        <w:t>3000rpm</w:t>
      </w:r>
      <w:r>
        <w:rPr>
          <w:spacing w:val="-22"/>
        </w:rPr>
        <w:t xml:space="preserve"> 离心 </w:t>
      </w:r>
      <w:r>
        <w:t>15</w:t>
      </w:r>
      <w:r>
        <w:rPr>
          <w:spacing w:val="-14"/>
        </w:rPr>
        <w:t xml:space="preserve"> 分钟</w:t>
      </w:r>
      <w:r>
        <w:rPr>
          <w:spacing w:val="-5"/>
        </w:rPr>
        <w:t>（</w:t>
      </w:r>
      <w:r>
        <w:t>建</w:t>
      </w:r>
      <w:r>
        <w:rPr>
          <w:spacing w:val="-5"/>
        </w:rPr>
        <w:t>议使用低温离心机</w:t>
      </w:r>
      <w:r>
        <w:rPr>
          <w:spacing w:val="-105"/>
        </w:rPr>
        <w:t>）</w:t>
      </w:r>
      <w:r>
        <w:rPr>
          <w:spacing w:val="-5"/>
        </w:rPr>
        <w:t>，收集上层液体</w:t>
      </w:r>
      <w:r>
        <w:t>（</w:t>
      </w:r>
      <w:r>
        <w:rPr>
          <w:spacing w:val="-3"/>
        </w:rPr>
        <w:t>血浆</w:t>
      </w:r>
      <w:r>
        <w:rPr>
          <w:spacing w:val="-108"/>
        </w:rPr>
        <w:t>）</w:t>
      </w:r>
      <w:r>
        <w:t>，在</w:t>
      </w:r>
      <w:r>
        <w:rPr>
          <w:spacing w:val="-51"/>
        </w:rPr>
        <w:t xml:space="preserve"> </w:t>
      </w:r>
      <w:r>
        <w:t>2</w:t>
      </w:r>
      <w:r>
        <w:rPr>
          <w:spacing w:val="-56"/>
        </w:rPr>
        <w:t xml:space="preserve"> </w:t>
      </w:r>
      <w:r>
        <w:rPr>
          <w:spacing w:val="-4"/>
        </w:rPr>
        <w:t>小时内进行实验。</w:t>
      </w:r>
    </w:p>
    <w:p>
      <w:pPr>
        <w:pStyle w:val="2"/>
        <w:spacing w:line="264" w:lineRule="exact"/>
        <w:ind w:left="748"/>
      </w:pPr>
      <w:r>
        <w:t>2、检测流程:</w:t>
      </w:r>
    </w:p>
    <w:p>
      <w:pPr>
        <w:spacing w:before="107"/>
        <w:ind w:left="1064"/>
        <w:rPr>
          <w:b/>
          <w:sz w:val="21"/>
        </w:rPr>
      </w:pPr>
      <w:r>
        <w:rPr>
          <w:b/>
          <w:sz w:val="21"/>
        </w:rPr>
        <w:t>①、</w:t>
      </w:r>
      <w:r>
        <w:rPr>
          <w:rFonts w:hint="eastAsia"/>
          <w:b/>
          <w:sz w:val="21"/>
        </w:rPr>
        <w:t>半自动凝血仪、手工测定</w:t>
      </w:r>
      <w:r>
        <w:rPr>
          <w:b/>
          <w:sz w:val="21"/>
        </w:rPr>
        <w:t>:</w:t>
      </w:r>
    </w:p>
    <w:p>
      <w:pPr>
        <w:spacing w:before="107"/>
        <w:ind w:left="1064"/>
        <w:rPr>
          <w:b w:val="0"/>
          <w:bCs/>
          <w:sz w:val="21"/>
        </w:rPr>
      </w:pPr>
      <w:r>
        <w:rPr>
          <w:rFonts w:hint="eastAsia"/>
          <w:b w:val="0"/>
          <w:bCs/>
          <w:sz w:val="21"/>
        </w:rPr>
        <w:t>取待测血浆0.1ml, 37°C孵育3分钟，加入37°C预温PT试剂0.2ml,记录凝固时间，即为 PT值。</w:t>
      </w:r>
    </w:p>
    <w:p>
      <w:pPr>
        <w:pStyle w:val="2"/>
        <w:spacing w:before="182"/>
        <w:ind w:left="1060"/>
      </w:pPr>
      <w:r>
        <w:t>②、自动血凝仪操作</w:t>
      </w:r>
    </w:p>
    <w:p>
      <w:pPr>
        <w:pStyle w:val="3"/>
        <w:spacing w:before="43"/>
      </w:pPr>
      <w:r>
        <w:t>如果使用仪器测定，参照仪器操作手册。</w:t>
      </w:r>
    </w:p>
    <w:p>
      <w:pPr>
        <w:pStyle w:val="3"/>
        <w:spacing w:before="43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0440" w:h="14750"/>
          <w:pgMar w:top="800" w:right="340" w:bottom="1060" w:left="240" w:header="575" w:footer="871" w:gutter="0"/>
          <w:cols w:space="720" w:num="1"/>
        </w:sectPr>
      </w:pPr>
    </w:p>
    <w:p>
      <w:pPr>
        <w:pStyle w:val="2"/>
        <w:spacing w:before="96"/>
      </w:pPr>
      <w:r>
        <w:t>五、测定原理:</w:t>
      </w:r>
    </w:p>
    <w:p>
      <w:pPr>
        <w:pStyle w:val="3"/>
        <w:spacing w:before="93" w:line="333" w:lineRule="auto"/>
        <w:ind w:left="748" w:right="215" w:firstLine="420"/>
        <w:jc w:val="both"/>
      </w:pPr>
      <w:r>
        <w:rPr>
          <w:rFonts w:hint="eastAsia"/>
        </w:rPr>
        <w:t>待测血浆加入过量的含钙组织凝血活酶，重新钙化的血浆在组织因子存在时激活因子X成为 Xa,后者使凝血酶原转变为凝血酶，凝血酶使纤维蛋白原转变为不溶性纤维蛋白，测定凝</w:t>
      </w:r>
      <w:bookmarkStart w:id="0" w:name="_GoBack"/>
      <w:bookmarkEnd w:id="0"/>
      <w:r>
        <w:rPr>
          <w:rFonts w:hint="eastAsia"/>
        </w:rPr>
        <w:t>固所需的时间，即为待测血浆凝血酶原时间。</w:t>
      </w:r>
    </w:p>
    <w:p>
      <w:pPr>
        <w:pStyle w:val="2"/>
        <w:spacing w:before="2" w:after="54"/>
      </w:pPr>
      <w:r>
        <w:t>六、技术指标:</w:t>
      </w:r>
    </w:p>
    <w:tbl>
      <w:tblPr>
        <w:tblStyle w:val="6"/>
        <w:tblW w:w="8567" w:type="dxa"/>
        <w:tblInd w:w="7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2957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52" w:type="dxa"/>
          </w:tcPr>
          <w:p>
            <w:pPr>
              <w:pStyle w:val="11"/>
              <w:ind w:left="97" w:right="8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957" w:type="dxa"/>
          </w:tcPr>
          <w:p>
            <w:pPr>
              <w:pStyle w:val="11"/>
              <w:ind w:left="89" w:right="85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4958" w:type="dxa"/>
          </w:tcPr>
          <w:p>
            <w:pPr>
              <w:pStyle w:val="11"/>
              <w:ind w:left="38" w:right="35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2" w:type="dxa"/>
          </w:tcPr>
          <w:p>
            <w:pPr>
              <w:pStyle w:val="11"/>
              <w:ind w:left="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57" w:type="dxa"/>
          </w:tcPr>
          <w:p>
            <w:pPr>
              <w:pStyle w:val="11"/>
              <w:ind w:left="89" w:right="85"/>
              <w:rPr>
                <w:sz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PT</w:t>
            </w:r>
            <w:r>
              <w:rPr>
                <w:color w:val="000000"/>
                <w:spacing w:val="0"/>
                <w:w w:val="100"/>
                <w:position w:val="0"/>
              </w:rPr>
              <w:t>试剂</w:t>
            </w:r>
          </w:p>
        </w:tc>
        <w:tc>
          <w:tcPr>
            <w:tcW w:w="4958" w:type="dxa"/>
          </w:tcPr>
          <w:p>
            <w:pPr>
              <w:pStyle w:val="11"/>
              <w:ind w:left="37" w:right="35"/>
              <w:rPr>
                <w:sz w:val="21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疏松体，复溶后为均匀混悬液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52" w:type="dxa"/>
          </w:tcPr>
          <w:p>
            <w:pPr>
              <w:pStyle w:val="11"/>
              <w:ind w:left="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957" w:type="dxa"/>
          </w:tcPr>
          <w:p>
            <w:pPr>
              <w:pStyle w:val="11"/>
              <w:ind w:left="89" w:right="87"/>
              <w:rPr>
                <w:sz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PT</w:t>
            </w:r>
            <w:r>
              <w:rPr>
                <w:color w:val="000000"/>
                <w:spacing w:val="0"/>
                <w:w w:val="100"/>
                <w:position w:val="0"/>
              </w:rPr>
              <w:t>缓冲液</w:t>
            </w:r>
          </w:p>
        </w:tc>
        <w:tc>
          <w:tcPr>
            <w:tcW w:w="4958" w:type="dxa"/>
          </w:tcPr>
          <w:p>
            <w:pPr>
              <w:pStyle w:val="11"/>
              <w:ind w:left="43" w:right="35"/>
              <w:rPr>
                <w:sz w:val="21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无色液体。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2" w:type="dxa"/>
          </w:tcPr>
          <w:p>
            <w:pPr>
              <w:pStyle w:val="11"/>
              <w:ind w:left="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957" w:type="dxa"/>
          </w:tcPr>
          <w:p>
            <w:pPr>
              <w:pStyle w:val="11"/>
              <w:ind w:left="89" w:right="81"/>
              <w:rPr>
                <w:sz w:val="21"/>
              </w:rPr>
            </w:pPr>
            <w:r>
              <w:rPr>
                <w:sz w:val="21"/>
              </w:rPr>
              <w:t>重复性</w:t>
            </w:r>
          </w:p>
        </w:tc>
        <w:tc>
          <w:tcPr>
            <w:tcW w:w="4958" w:type="dxa"/>
          </w:tcPr>
          <w:p>
            <w:pPr>
              <w:pStyle w:val="11"/>
              <w:ind w:left="39" w:right="35"/>
              <w:rPr>
                <w:sz w:val="21"/>
              </w:rPr>
            </w:pPr>
            <w:r>
              <w:rPr>
                <w:sz w:val="21"/>
              </w:rPr>
              <w:t>重复试验的变异系数不应超过 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52" w:type="dxa"/>
          </w:tcPr>
          <w:p>
            <w:pPr>
              <w:pStyle w:val="11"/>
              <w:ind w:left="6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57" w:type="dxa"/>
          </w:tcPr>
          <w:p>
            <w:pPr>
              <w:pStyle w:val="11"/>
              <w:ind w:left="89" w:right="81"/>
              <w:rPr>
                <w:sz w:val="21"/>
              </w:rPr>
            </w:pPr>
            <w:r>
              <w:rPr>
                <w:sz w:val="21"/>
              </w:rPr>
              <w:t>批间差</w:t>
            </w:r>
          </w:p>
        </w:tc>
        <w:tc>
          <w:tcPr>
            <w:tcW w:w="4958" w:type="dxa"/>
          </w:tcPr>
          <w:p>
            <w:pPr>
              <w:pStyle w:val="11"/>
              <w:ind w:left="39" w:right="35"/>
              <w:rPr>
                <w:sz w:val="21"/>
              </w:rPr>
            </w:pPr>
            <w:r>
              <w:rPr>
                <w:sz w:val="21"/>
              </w:rPr>
              <w:t xml:space="preserve">批间差应符合规定，变异系数不应超过 </w:t>
            </w:r>
            <w:r>
              <w:rPr>
                <w:rFonts w:hint="eastAsia"/>
                <w:sz w:val="21"/>
                <w:lang w:val="en-US" w:eastAsia="zh-CN"/>
              </w:rPr>
              <w:t>7.5</w:t>
            </w:r>
            <w:r>
              <w:rPr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52" w:type="dxa"/>
          </w:tcPr>
          <w:p>
            <w:pPr>
              <w:pStyle w:val="11"/>
              <w:ind w:left="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957" w:type="dxa"/>
          </w:tcPr>
          <w:p>
            <w:pPr>
              <w:pStyle w:val="11"/>
              <w:ind w:left="89" w:right="81"/>
              <w:rPr>
                <w:sz w:val="21"/>
              </w:rPr>
            </w:pPr>
            <w:r>
              <w:rPr>
                <w:sz w:val="21"/>
              </w:rPr>
              <w:t>稳定性</w:t>
            </w:r>
          </w:p>
        </w:tc>
        <w:tc>
          <w:tcPr>
            <w:tcW w:w="4958" w:type="dxa"/>
          </w:tcPr>
          <w:p>
            <w:pPr>
              <w:pStyle w:val="11"/>
              <w:ind w:left="43" w:right="35"/>
              <w:rPr>
                <w:sz w:val="21"/>
              </w:rPr>
            </w:pPr>
            <w:r>
              <w:rPr>
                <w:sz w:val="21"/>
              </w:rPr>
              <w:t xml:space="preserve">在 2℃～8℃存放不少于 </w:t>
            </w:r>
            <w:r>
              <w:rPr>
                <w:rFonts w:hint="eastAsia"/>
                <w:sz w:val="21"/>
                <w:lang w:val="en-US" w:eastAsia="zh-CN"/>
              </w:rPr>
              <w:t>36</w:t>
            </w:r>
            <w:r>
              <w:rPr>
                <w:sz w:val="21"/>
              </w:rPr>
              <w:t xml:space="preserve"> 个月</w:t>
            </w:r>
          </w:p>
        </w:tc>
      </w:tr>
    </w:tbl>
    <w:p>
      <w:pPr>
        <w:pStyle w:val="3"/>
        <w:numPr>
          <w:ilvl w:val="0"/>
          <w:numId w:val="1"/>
        </w:numPr>
        <w:spacing w:before="58" w:line="336" w:lineRule="auto"/>
        <w:ind w:left="224" w:right="113"/>
        <w:rPr>
          <w:spacing w:val="-10"/>
        </w:rPr>
      </w:pPr>
      <w:r>
        <w:rPr>
          <w:b/>
        </w:rPr>
        <w:t xml:space="preserve">质量控制: </w:t>
      </w:r>
      <w:r>
        <w:rPr>
          <w:spacing w:val="-10"/>
        </w:rPr>
        <w:t>每个实验室应建立一个自己的正常和异常质控范围，以核定仪器、试剂和技术员的操作。</w:t>
      </w:r>
    </w:p>
    <w:p>
      <w:pPr>
        <w:pStyle w:val="3"/>
        <w:numPr>
          <w:numId w:val="0"/>
        </w:numPr>
        <w:spacing w:before="58" w:line="336" w:lineRule="auto"/>
        <w:ind w:right="113" w:rightChars="0" w:firstLine="199" w:firstLineChars="100"/>
      </w:pPr>
      <w:r>
        <w:rPr>
          <w:b/>
          <w:spacing w:val="-6"/>
        </w:rPr>
        <w:t xml:space="preserve">八、测定结果: </w:t>
      </w:r>
      <w:r>
        <w:t>APTT</w:t>
      </w:r>
      <w:r>
        <w:rPr>
          <w:spacing w:val="-9"/>
        </w:rPr>
        <w:t xml:space="preserve"> 测定结果以秒数表示，需对照每个实验室的正常值范围进行评价。</w:t>
      </w:r>
    </w:p>
    <w:p>
      <w:pPr>
        <w:pStyle w:val="2"/>
        <w:spacing w:line="264" w:lineRule="exact"/>
        <w:ind w:left="224"/>
      </w:pPr>
      <w:r>
        <w:t>九、正常参考值范围:</w:t>
      </w:r>
    </w:p>
    <w:p>
      <w:pPr>
        <w:pStyle w:val="3"/>
        <w:spacing w:line="331" w:lineRule="auto"/>
        <w:ind w:left="644" w:right="217" w:firstLine="420"/>
      </w:pPr>
      <w:r>
        <w:rPr>
          <w:spacing w:val="-10"/>
          <w:lang w:val="en-US" w:eastAsia="en-US"/>
        </w:rPr>
        <w:t>10-14</w:t>
      </w:r>
      <w:r>
        <w:rPr>
          <w:spacing w:val="-10"/>
        </w:rPr>
        <w:t>秒</w:t>
      </w:r>
      <w:r>
        <w:rPr>
          <w:spacing w:val="-10"/>
          <w:lang w:val="en-US" w:eastAsia="en-US"/>
        </w:rPr>
        <w:t>（n = 200, x±2SD</w:t>
      </w:r>
      <w:r>
        <w:rPr>
          <w:spacing w:val="-10"/>
        </w:rPr>
        <w:t>作为参考区间的上、下限。） 以上值仅供参考。由于仪器、实验室、当地人群之间都可能有差异，建议建立</w:t>
      </w:r>
      <w:r>
        <w:rPr>
          <w:spacing w:val="9"/>
        </w:rPr>
        <w:t>自己的</w:t>
      </w:r>
      <w:r>
        <w:t>APTT</w:t>
      </w:r>
      <w:r>
        <w:rPr>
          <w:spacing w:val="-12"/>
        </w:rPr>
        <w:t xml:space="preserve"> 参照范围。</w:t>
      </w:r>
    </w:p>
    <w:p>
      <w:pPr>
        <w:pStyle w:val="2"/>
        <w:spacing w:before="6"/>
        <w:ind w:left="116"/>
      </w:pPr>
      <w:r>
        <w:t>十一、测定意义:</w:t>
      </w:r>
    </w:p>
    <w:p>
      <w:pPr>
        <w:pStyle w:val="2"/>
        <w:spacing w:before="6"/>
        <w:ind w:left="642" w:leftChars="292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PT测定是外源性凝血系统较理想和常用的筛选试验，也可作为外源性途径及共同途径凝血因 子的定量试验，同时，也可用于口服抗凝剂治疗的监控。</w:t>
      </w:r>
    </w:p>
    <w:p>
      <w:pPr>
        <w:pStyle w:val="2"/>
        <w:spacing w:before="6"/>
        <w:ind w:left="642" w:leftChars="292"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PT延长：见于先天性凝血因子II、V、vn、X缺乏症，低（无）纤维蛋白原血症，DIC,原 发性纤溶症，VitK缺乏，肝病，口服抗凝剂、肝素和FDP等。</w:t>
      </w:r>
    </w:p>
    <w:p>
      <w:pPr>
        <w:pStyle w:val="2"/>
        <w:spacing w:before="6"/>
        <w:ind w:left="224" w:firstLine="840" w:firstLineChars="4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PT缩短：见于先天性凝血因子V增多，口服避孕药，高凝状态，血栓性疾病等。</w:t>
      </w:r>
    </w:p>
    <w:p>
      <w:pPr>
        <w:pStyle w:val="2"/>
        <w:spacing w:before="6"/>
        <w:ind w:left="224"/>
      </w:pPr>
      <w:r>
        <w:t>十二、注意事项:</w:t>
      </w:r>
    </w:p>
    <w:p>
      <w:pPr>
        <w:pStyle w:val="3"/>
        <w:ind w:left="536"/>
      </w:pPr>
      <w:r>
        <w:rPr>
          <w:b/>
        </w:rPr>
        <w:t>1、</w:t>
      </w:r>
      <w:r>
        <w:t>采集样本必须使用一次性塑料试管或硅化玻璃管，使用真空采血后应及时去真空。</w:t>
      </w:r>
    </w:p>
    <w:p>
      <w:pPr>
        <w:pStyle w:val="3"/>
        <w:spacing w:before="103"/>
        <w:ind w:left="536"/>
      </w:pPr>
      <w:r>
        <w:rPr>
          <w:b/>
        </w:rPr>
        <w:t>2、</w:t>
      </w:r>
      <w:r>
        <w:t>样本应使用 0.109M 的枸掾酸钠作为抗凝剂。</w:t>
      </w:r>
    </w:p>
    <w:p>
      <w:pPr>
        <w:pStyle w:val="3"/>
        <w:ind w:left="536"/>
      </w:pPr>
      <w:r>
        <w:rPr>
          <w:b/>
        </w:rPr>
        <w:t>3、</w:t>
      </w:r>
      <w:r>
        <w:t>抗凝剂枸掾酸钠与全血应严格按照 1：9 的比例混合，并及时轻轻颠倒摇匀。红细胞比容在 20～</w:t>
      </w:r>
    </w:p>
    <w:p>
      <w:pPr>
        <w:pStyle w:val="3"/>
        <w:spacing w:before="103" w:line="336" w:lineRule="auto"/>
        <w:ind w:left="844" w:right="216"/>
      </w:pPr>
      <w:r>
        <w:t>55%</w:t>
      </w:r>
      <w:r>
        <w:rPr>
          <w:spacing w:val="-14"/>
        </w:rPr>
        <w:t>范围之外时，可按下式改变抗凝剂比例：抗凝剂用量</w:t>
      </w:r>
      <w:r>
        <w:rPr>
          <w:spacing w:val="-5"/>
        </w:rPr>
        <w:t>（ml）=0.00185</w:t>
      </w:r>
      <w:r>
        <w:rPr>
          <w:spacing w:val="-15"/>
        </w:rPr>
        <w:t>×血液体积</w:t>
      </w:r>
      <w:r>
        <w:rPr>
          <w:spacing w:val="-12"/>
        </w:rPr>
        <w:t xml:space="preserve">（ml）×（100- </w:t>
      </w:r>
      <w:r>
        <w:rPr>
          <w:spacing w:val="-3"/>
        </w:rPr>
        <w:t>比容</w:t>
      </w:r>
      <w:r>
        <w:rPr>
          <w:spacing w:val="-105"/>
        </w:rPr>
        <w:t>）</w:t>
      </w:r>
      <w:r>
        <w:t>。</w:t>
      </w:r>
    </w:p>
    <w:p>
      <w:pPr>
        <w:pStyle w:val="3"/>
        <w:spacing w:before="0" w:line="268" w:lineRule="exact"/>
        <w:ind w:left="512"/>
      </w:pPr>
      <w:r>
        <w:rPr>
          <w:b/>
        </w:rPr>
        <w:t>4、</w:t>
      </w:r>
      <w:r>
        <w:rPr>
          <w:rFonts w:hint="eastAsia"/>
        </w:rPr>
        <w:t>血浆预温不宜超过5分钟。</w:t>
      </w:r>
    </w:p>
    <w:p>
      <w:pPr>
        <w:pStyle w:val="3"/>
        <w:spacing w:before="103" w:line="336" w:lineRule="auto"/>
        <w:ind w:left="820" w:right="215" w:hanging="312"/>
        <w:rPr>
          <w:spacing w:val="-6"/>
        </w:rPr>
      </w:pPr>
      <w:r>
        <w:rPr>
          <w:b/>
        </w:rPr>
        <w:t>5</w:t>
      </w:r>
      <w:r>
        <w:rPr>
          <w:b/>
          <w:spacing w:val="-8"/>
        </w:rPr>
        <w:t>、</w:t>
      </w:r>
      <w:r>
        <w:rPr>
          <w:rFonts w:hint="eastAsia"/>
          <w:spacing w:val="-6"/>
        </w:rPr>
        <w:t>PT试剂预温不可超过15分钟</w:t>
      </w:r>
    </w:p>
    <w:p>
      <w:pPr>
        <w:pStyle w:val="3"/>
        <w:spacing w:before="0" w:line="264" w:lineRule="exact"/>
        <w:ind w:left="512"/>
      </w:pPr>
      <w:r>
        <w:rPr>
          <w:b/>
        </w:rPr>
        <w:t>6、</w:t>
      </w:r>
      <w:r>
        <w:rPr>
          <w:rFonts w:hint="eastAsia"/>
        </w:rPr>
        <w:t>用浊度法测定终点的自动化凝血仪，溶血和较明显的黄疸及脂血会影响测定结果，此时宜 用手工法或电子机械式凝血仪测定</w:t>
      </w:r>
      <w:r>
        <w:t>。</w:t>
      </w:r>
    </w:p>
    <w:p>
      <w:pPr>
        <w:pStyle w:val="3"/>
        <w:ind w:left="512"/>
      </w:pPr>
      <w:r>
        <w:rPr>
          <w:b/>
        </w:rPr>
        <w:t>7、</w:t>
      </w:r>
      <w:r>
        <w:rPr>
          <w:rFonts w:hint="eastAsia"/>
        </w:rPr>
        <w:t>手工操作时，光线要充足，凝血酶原时间的终点计算以出现混浊的初期凝固为准。用不同仪器测定时所需样本与试剂比例、体积可能会不同，应根据实际所用仪器进行参数 调整。</w:t>
      </w:r>
    </w:p>
    <w:p>
      <w:pPr>
        <w:pStyle w:val="3"/>
        <w:spacing w:line="331" w:lineRule="auto"/>
        <w:ind w:left="720" w:right="198" w:hanging="212"/>
      </w:pPr>
      <w:r>
        <w:rPr>
          <w:b/>
        </w:rPr>
        <w:t>8、</w:t>
      </w:r>
      <w:r>
        <w:rPr>
          <w:spacing w:val="-5"/>
        </w:rPr>
        <w:t>使用本试剂盒时应佩戴一次性手套，避免直接接触皮肤和眼睛，切勿吞咽。一旦发生这种情况， 立即用大量水冲洗所接触的部位。</w:t>
      </w:r>
    </w:p>
    <w:sectPr>
      <w:pgSz w:w="10440" w:h="14750"/>
      <w:pgMar w:top="800" w:right="340" w:bottom="1060" w:left="240" w:header="575" w:footer="8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  <w:lang w:val="en-US"/>
      </w:rPr>
    </w:pPr>
    <w:r>
      <w:pict>
        <v:shape id="_x0000_s1027" o:spid="_x0000_s1027" o:spt="202" type="#_x0000_t202" style="position:absolute;left:0pt;margin-left:312.35pt;margin-top:694.15pt;height:30.4pt;width:176.1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ind w:right="45"/>
                  <w:jc w:val="both"/>
                  <w:rPr>
                    <w:rFonts w:ascii="Times New Roman" w:eastAsia="Times New Roman"/>
                    <w:sz w:val="18"/>
                  </w:rPr>
                </w:pPr>
                <w:r>
                  <w:rPr>
                    <w:rFonts w:ascii="Times New Roman" w:eastAsia="Times New Roman"/>
                    <w:spacing w:val="-1"/>
                    <w:sz w:val="18"/>
                  </w:rPr>
                  <w:t>E-Mail</w:t>
                </w:r>
                <w:r>
                  <w:rPr>
                    <w:spacing w:val="-1"/>
                    <w:sz w:val="18"/>
                  </w:rPr>
                  <w:t>：</w:t>
                </w:r>
                <w:r>
                  <w:fldChar w:fldCharType="begin"/>
                </w:r>
                <w:r>
                  <w:instrText xml:space="preserve"> HYPERLINK "mailto:njjcbio@vip.163.com" \h </w:instrText>
                </w:r>
                <w:r>
                  <w:fldChar w:fldCharType="separate"/>
                </w:r>
                <w:r>
                  <w:rPr>
                    <w:rFonts w:hint="eastAsia" w:ascii="Times New Roman"/>
                    <w:spacing w:val="-1"/>
                    <w:sz w:val="18"/>
                    <w:lang w:val="en-US"/>
                  </w:rPr>
                  <w:t>shifeng2007</w:t>
                </w:r>
                <w:r>
                  <w:rPr>
                    <w:rFonts w:ascii="Times New Roman" w:eastAsia="Times New Roman"/>
                    <w:spacing w:val="-1"/>
                    <w:sz w:val="18"/>
                  </w:rPr>
                  <w:t>@163.com</w:t>
                </w:r>
                <w:r>
                  <w:rPr>
                    <w:rFonts w:ascii="Times New Roman" w:eastAsia="Times New Roman"/>
                    <w:spacing w:val="-1"/>
                    <w:sz w:val="18"/>
                  </w:rPr>
                  <w:fldChar w:fldCharType="end"/>
                </w:r>
              </w:p>
              <w:p>
                <w:pPr>
                  <w:spacing w:before="49"/>
                  <w:ind w:right="18"/>
                  <w:jc w:val="both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sz w:val="18"/>
                  </w:rPr>
                  <w:t>传真号码：</w:t>
                </w:r>
                <w:r>
                  <w:rPr>
                    <w:rFonts w:hint="eastAsia" w:ascii="Times New Roman"/>
                    <w:sz w:val="18"/>
                    <w:lang w:val="en-US"/>
                  </w:rPr>
                  <w:t>021-33250231</w:t>
                </w:r>
              </w:p>
            </w:txbxContent>
          </v:textbox>
        </v:shape>
      </w:pict>
    </w:r>
    <w:r>
      <w:pict>
        <v:shape id="_x0000_s1028" o:spid="_x0000_s1028" o:spt="202" type="#_x0000_t202" style="position:absolute;left:0pt;margin-left:61.8pt;margin-top:691.7pt;height:26.05pt;width:192.0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ind w:left="20"/>
                  <w:rPr>
                    <w:sz w:val="18"/>
                    <w:lang w:val="en-US"/>
                  </w:rPr>
                </w:pPr>
                <w:r>
                  <w:rPr>
                    <w:spacing w:val="-3"/>
                    <w:sz w:val="18"/>
                  </w:rPr>
                  <w:t>公司地址：</w:t>
                </w:r>
                <w:r>
                  <w:rPr>
                    <w:rFonts w:hint="eastAsia"/>
                    <w:spacing w:val="-3"/>
                    <w:sz w:val="18"/>
                  </w:rPr>
                  <w:t>上海市宝山区锦乐路</w:t>
                </w:r>
                <w:r>
                  <w:rPr>
                    <w:rFonts w:hint="eastAsia"/>
                    <w:spacing w:val="-3"/>
                    <w:sz w:val="18"/>
                    <w:lang w:val="en-US"/>
                  </w:rPr>
                  <w:t>947弄1幢1406室</w:t>
                </w:r>
              </w:p>
              <w:p>
                <w:pPr>
                  <w:spacing w:before="49"/>
                  <w:ind w:left="20"/>
                  <w:rPr>
                    <w:rFonts w:ascii="Times New Roman"/>
                    <w:sz w:val="18"/>
                    <w:lang w:val="en-US"/>
                  </w:rPr>
                </w:pPr>
                <w:r>
                  <w:rPr>
                    <w:sz w:val="18"/>
                  </w:rPr>
                  <w:t>联系电话：</w:t>
                </w:r>
                <w:r>
                  <w:rPr>
                    <w:rFonts w:hint="eastAsia" w:ascii="Times New Roman"/>
                    <w:sz w:val="18"/>
                    <w:lang w:val="en-US"/>
                  </w:rPr>
                  <w:t>021-56640936</w:t>
                </w:r>
              </w:p>
            </w:txbxContent>
          </v:textbox>
        </v:shape>
      </w:pict>
    </w:r>
    <w:r>
      <w:pict>
        <v:shape id="_x0000_s1029" o:spid="_x0000_s1029" o:spt="100" style="position:absolute;left:0pt;margin-left:33.75pt;margin-top:679.65pt;height:4.65pt;width:453.6pt;mso-position-horizontal-relative:page;mso-position-vertical-relative:page;z-index:-251655168;mso-width-relative:page;mso-height-relative:page;" fillcolor="#000000" filled="t" stroked="f" coordorigin="676,13593" coordsize="9072,93" adj="," path="m9747,13593l676,13596,676,13650,9747,13647,9747,13593xm9747,13665l676,13668,676,13686,9747,13683,9747,13665xe">
          <v:path arrowok="t" o:connecttype="segments"/>
          <v:fill on="t" focussize="0,0"/>
          <v:stroke on="f" joinstyle="round"/>
          <v:imagedata o:title=""/>
          <o:lock v:ext="edit"/>
        </v:shape>
      </w:pict>
    </w:r>
    <w:r>
      <w:rPr>
        <w:rFonts w:hint="eastAsia"/>
        <w:sz w:val="20"/>
        <w:lang w:val="en-US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1025" o:spid="_x0000_s1025" o:spt="202" type="#_x0000_t202" style="position:absolute;left:0pt;margin-left:55.3pt;margin-top:25.7pt;height:14.75pt;width:109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sz w:val="18"/>
                    <w:lang w:val="en-US"/>
                  </w:rPr>
                </w:pPr>
                <w:r>
                  <w:rPr>
                    <w:rFonts w:hint="eastAsia"/>
                    <w:sz w:val="18"/>
                    <w:lang w:val="en-US"/>
                  </w:rPr>
                  <w:t>上海士锋生物科技有限公司</w:t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left:368.45pt;margin-top:24.65pt;height:16.85pt;width:103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3"/>
                  <w:ind w:left="2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instrText xml:space="preserve"> HYPERLINK "http://www.njjcbio.com/" \h </w:instrText>
                </w:r>
                <w:r>
                  <w:fldChar w:fldCharType="separate"/>
                </w:r>
                <w:r>
                  <w:rPr>
                    <w:rFonts w:ascii="Times New Roman"/>
                  </w:rPr>
                  <w:t>www</w:t>
                </w:r>
                <w:r>
                  <w:rPr>
                    <w:rFonts w:hint="eastAsia" w:ascii="Times New Roman"/>
                    <w:lang w:val="en-US"/>
                  </w:rPr>
                  <w:t>.shifeng</w:t>
                </w:r>
                <w:r>
                  <w:rPr>
                    <w:rFonts w:ascii="Times New Roman"/>
                  </w:rPr>
                  <w:t>bio.com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1D4EA"/>
    <w:multiLevelType w:val="singleLevel"/>
    <w:tmpl w:val="59A1D4EA"/>
    <w:lvl w:ilvl="0" w:tentative="0">
      <w:start w:val="7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MxZDI2NjAzYTJlYzE2MmNhOGRjNzFiZDg2ZDgzNmYifQ=="/>
  </w:docVars>
  <w:rsids>
    <w:rsidRoot w:val="00172A27"/>
    <w:rsid w:val="00172A27"/>
    <w:rsid w:val="007F5FCF"/>
    <w:rsid w:val="00CE44BB"/>
    <w:rsid w:val="00D00FC1"/>
    <w:rsid w:val="118B6538"/>
    <w:rsid w:val="16D607CA"/>
    <w:rsid w:val="19F82848"/>
    <w:rsid w:val="25A77D64"/>
    <w:rsid w:val="31AF2660"/>
    <w:rsid w:val="32B67A1F"/>
    <w:rsid w:val="349624C3"/>
    <w:rsid w:val="4D3161C8"/>
    <w:rsid w:val="56552F27"/>
    <w:rsid w:val="63BE3776"/>
    <w:rsid w:val="77946466"/>
    <w:rsid w:val="7E0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28"/>
      <w:outlineLvl w:val="0"/>
    </w:pPr>
    <w:rPr>
      <w:b/>
      <w:bCs/>
      <w:sz w:val="21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7"/>
      <w:ind w:left="1905"/>
    </w:pPr>
    <w:rPr>
      <w:sz w:val="21"/>
      <w:szCs w:val="21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5"/>
      <w:ind w:left="1905" w:hanging="421"/>
    </w:pPr>
  </w:style>
  <w:style w:type="paragraph" w:customStyle="1" w:styleId="11">
    <w:name w:val="Table Paragraph"/>
    <w:basedOn w:val="1"/>
    <w:qFormat/>
    <w:uiPriority w:val="1"/>
    <w:pPr>
      <w:spacing w:before="37"/>
      <w:jc w:val="center"/>
    </w:pPr>
  </w:style>
  <w:style w:type="character" w:customStyle="1" w:styleId="12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14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1291</Words>
  <Characters>1410</Characters>
  <Lines>12</Lines>
  <Paragraphs>3</Paragraphs>
  <TotalTime>5</TotalTime>
  <ScaleCrop>false</ScaleCrop>
  <LinksUpToDate>false</LinksUpToDate>
  <CharactersWithSpaces>1466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2019-03-15T02:01:00Z</dcterms:created>
  <dc:creator>雨林木风</dc:creator>
  <cp:lastModifiedBy>士锋生物</cp:lastModifiedBy>
  <cp:lastPrinted>2022-07-09T06:26:44Z</cp:lastPrinted>
  <dcterms:modified xsi:type="dcterms:W3CDTF">2022-07-09T06:26:54Z</dcterms:modified>
  <dc:title>嗜酸性粒细胞直接计数液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6513177088334DA1BAC0467118D9F8EC</vt:lpwstr>
  </property>
</Properties>
</file>